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5" w:rsidRDefault="009429F5" w:rsidP="009429F5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9F5" w:rsidRDefault="009429F5" w:rsidP="009429F5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7C1E35" w:rsidRDefault="0033172D" w:rsidP="007C1E3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2F196C">
        <w:rPr>
          <w:rFonts w:ascii="Times New Roman" w:hAnsi="Times New Roman" w:cs="Times New Roman"/>
          <w:b/>
          <w:sz w:val="28"/>
          <w:szCs w:val="28"/>
        </w:rPr>
        <w:t>«сельсовет «Мекегинский»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655C9B" w:rsidRDefault="00655C9B" w:rsidP="00655C9B">
      <w:pPr>
        <w:ind w:left="432"/>
        <w:rPr>
          <w:sz w:val="28"/>
          <w:szCs w:val="28"/>
        </w:rPr>
      </w:pPr>
      <w:r>
        <w:rPr>
          <w:sz w:val="28"/>
          <w:szCs w:val="28"/>
        </w:rPr>
        <w:t>с.</w:t>
      </w:r>
      <w:r w:rsidR="002F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Мекеги                                                                    </w:t>
      </w:r>
      <w:r w:rsidR="008D6EBE" w:rsidRPr="00655C9B">
        <w:rPr>
          <w:sz w:val="28"/>
          <w:szCs w:val="28"/>
        </w:rPr>
        <w:t>«</w:t>
      </w:r>
      <w:r w:rsidR="002F196C">
        <w:rPr>
          <w:sz w:val="28"/>
          <w:szCs w:val="28"/>
        </w:rPr>
        <w:t>12</w:t>
      </w:r>
      <w:r w:rsidR="00436C84" w:rsidRPr="00655C9B">
        <w:rPr>
          <w:sz w:val="28"/>
          <w:szCs w:val="28"/>
        </w:rPr>
        <w:t xml:space="preserve">»  </w:t>
      </w:r>
      <w:r w:rsidR="002F196C">
        <w:rPr>
          <w:sz w:val="28"/>
          <w:szCs w:val="28"/>
        </w:rPr>
        <w:t>марта</w:t>
      </w:r>
      <w:r w:rsidR="007C1E35" w:rsidRPr="00655C9B">
        <w:rPr>
          <w:sz w:val="28"/>
          <w:szCs w:val="28"/>
        </w:rPr>
        <w:t xml:space="preserve">  2018</w:t>
      </w:r>
      <w:r w:rsidR="0033172D" w:rsidRPr="00655C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3172D" w:rsidRPr="00655C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</w:t>
      </w:r>
    </w:p>
    <w:p w:rsidR="00655C9B" w:rsidRDefault="00655C9B" w:rsidP="00655C9B">
      <w:pPr>
        <w:rPr>
          <w:sz w:val="28"/>
          <w:szCs w:val="28"/>
        </w:rPr>
      </w:pPr>
    </w:p>
    <w:p w:rsidR="00655C9B" w:rsidRDefault="00655C9B" w:rsidP="00655C9B">
      <w:pPr>
        <w:rPr>
          <w:sz w:val="28"/>
          <w:szCs w:val="28"/>
        </w:rPr>
      </w:pPr>
    </w:p>
    <w:p w:rsidR="0033172D" w:rsidRPr="00655C9B" w:rsidRDefault="002F196C" w:rsidP="0065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№11</w:t>
      </w:r>
    </w:p>
    <w:p w:rsidR="00655C9B" w:rsidRPr="00655C9B" w:rsidRDefault="00655C9B" w:rsidP="00655C9B">
      <w:pPr>
        <w:jc w:val="center"/>
        <w:rPr>
          <w:b/>
          <w:sz w:val="28"/>
          <w:szCs w:val="28"/>
        </w:rPr>
      </w:pPr>
    </w:p>
    <w:p w:rsidR="00655C9B" w:rsidRPr="00655C9B" w:rsidRDefault="00655C9B" w:rsidP="00655C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B">
        <w:rPr>
          <w:rFonts w:ascii="Times New Roman" w:hAnsi="Times New Roman" w:cs="Times New Roman"/>
          <w:b/>
          <w:sz w:val="28"/>
          <w:szCs w:val="28"/>
        </w:rPr>
        <w:t xml:space="preserve">О   порядке   ведения   реестра   </w:t>
      </w:r>
      <w:proofErr w:type="gramStart"/>
      <w:r w:rsidRPr="00655C9B">
        <w:rPr>
          <w:rFonts w:ascii="Times New Roman" w:hAnsi="Times New Roman" w:cs="Times New Roman"/>
          <w:b/>
          <w:sz w:val="28"/>
          <w:szCs w:val="28"/>
        </w:rPr>
        <w:t>расходных</w:t>
      </w:r>
      <w:proofErr w:type="gramEnd"/>
    </w:p>
    <w:p w:rsidR="00655C9B" w:rsidRPr="00655C9B" w:rsidRDefault="00655C9B" w:rsidP="00655C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C9B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594371" w:rsidRPr="00594371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2F196C">
        <w:rPr>
          <w:rFonts w:ascii="Times New Roman" w:hAnsi="Times New Roman" w:cs="Times New Roman"/>
          <w:b/>
          <w:sz w:val="28"/>
          <w:szCs w:val="28"/>
        </w:rPr>
        <w:t>«сельсовет «Мекегинский»</w:t>
      </w:r>
    </w:p>
    <w:p w:rsidR="00655C9B" w:rsidRPr="00655C9B" w:rsidRDefault="00655C9B" w:rsidP="00655C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9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евашинского</w:t>
      </w:r>
      <w:r w:rsidRPr="0065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F196C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655C9B" w:rsidRPr="00024D75" w:rsidRDefault="00655C9B" w:rsidP="00655C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5C9B" w:rsidRPr="00024D75" w:rsidRDefault="00655C9B" w:rsidP="00655C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C9B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75">
        <w:rPr>
          <w:rFonts w:ascii="Times New Roman" w:hAnsi="Times New Roman" w:cs="Times New Roman"/>
          <w:sz w:val="28"/>
          <w:szCs w:val="28"/>
        </w:rPr>
        <w:t xml:space="preserve">      В соответствии с пунктом 5 статьи 87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655C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5C9B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9B" w:rsidRPr="00024D75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D75">
        <w:rPr>
          <w:rFonts w:ascii="Times New Roman" w:hAnsi="Times New Roman" w:cs="Times New Roman"/>
          <w:sz w:val="28"/>
          <w:szCs w:val="28"/>
        </w:rPr>
        <w:t xml:space="preserve">      1. Утвердить  Порядок ведения реестра расходных обязательств </w:t>
      </w:r>
      <w:r w:rsidR="00594371">
        <w:rPr>
          <w:rFonts w:ascii="Times New Roman" w:hAnsi="Times New Roman" w:cs="Times New Roman"/>
          <w:sz w:val="28"/>
          <w:szCs w:val="28"/>
        </w:rPr>
        <w:t xml:space="preserve">МО </w:t>
      </w:r>
      <w:r w:rsidR="002F196C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Pr="0002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Левашинского</w:t>
      </w:r>
      <w:r w:rsidRPr="00024D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196C">
        <w:rPr>
          <w:rFonts w:ascii="Times New Roman" w:hAnsi="Times New Roman" w:cs="Times New Roman"/>
          <w:sz w:val="28"/>
          <w:szCs w:val="28"/>
        </w:rPr>
        <w:t xml:space="preserve">РД </w:t>
      </w:r>
      <w:r w:rsidRPr="00024D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5C9B" w:rsidRPr="00024D75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D75">
        <w:rPr>
          <w:rFonts w:ascii="Times New Roman" w:hAnsi="Times New Roman" w:cs="Times New Roman"/>
          <w:sz w:val="28"/>
          <w:szCs w:val="28"/>
        </w:rPr>
        <w:t xml:space="preserve">      2. Установить, что органом, уполномоченным осуществлять ведение реестра расходных обязательств </w:t>
      </w:r>
      <w:r w:rsidR="00594371">
        <w:rPr>
          <w:rFonts w:ascii="Times New Roman" w:hAnsi="Times New Roman" w:cs="Times New Roman"/>
          <w:sz w:val="28"/>
          <w:szCs w:val="28"/>
        </w:rPr>
        <w:t xml:space="preserve">МО </w:t>
      </w:r>
      <w:r w:rsidR="002F196C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="00594371">
        <w:rPr>
          <w:rFonts w:ascii="Times New Roman" w:hAnsi="Times New Roman" w:cs="Times New Roman"/>
          <w:sz w:val="28"/>
          <w:szCs w:val="28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 xml:space="preserve">Левашинского </w:t>
      </w:r>
      <w:r w:rsidRPr="00024D75">
        <w:rPr>
          <w:rFonts w:ascii="Times New Roman" w:hAnsi="Times New Roman" w:cs="Times New Roman"/>
          <w:sz w:val="28"/>
          <w:szCs w:val="28"/>
        </w:rPr>
        <w:t>района</w:t>
      </w:r>
      <w:r w:rsidR="002F196C">
        <w:rPr>
          <w:rFonts w:ascii="Times New Roman" w:hAnsi="Times New Roman" w:cs="Times New Roman"/>
          <w:sz w:val="28"/>
          <w:szCs w:val="28"/>
        </w:rPr>
        <w:t xml:space="preserve"> РД </w:t>
      </w:r>
      <w:r w:rsidRPr="00024D75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яется а</w:t>
      </w:r>
      <w:r w:rsidRPr="00024D7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94371">
        <w:rPr>
          <w:rFonts w:ascii="Times New Roman" w:hAnsi="Times New Roman" w:cs="Times New Roman"/>
          <w:sz w:val="28"/>
          <w:szCs w:val="28"/>
        </w:rPr>
        <w:t xml:space="preserve">МО </w:t>
      </w:r>
      <w:r w:rsidR="002F196C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Pr="00024D75">
        <w:rPr>
          <w:rFonts w:ascii="Times New Roman" w:hAnsi="Times New Roman" w:cs="Times New Roman"/>
          <w:sz w:val="28"/>
          <w:szCs w:val="28"/>
        </w:rPr>
        <w:t>.</w:t>
      </w:r>
    </w:p>
    <w:p w:rsidR="00655C9B" w:rsidRPr="00024D75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024D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 января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24D75">
        <w:rPr>
          <w:rFonts w:ascii="Times New Roman" w:hAnsi="Times New Roman" w:cs="Times New Roman"/>
          <w:sz w:val="28"/>
          <w:szCs w:val="28"/>
        </w:rPr>
        <w:t xml:space="preserve">года, подлежит  официальному  обнародованию и размещению на официальном сайте администрации </w:t>
      </w:r>
      <w:r w:rsidR="00594371">
        <w:rPr>
          <w:rFonts w:ascii="Times New Roman" w:hAnsi="Times New Roman" w:cs="Times New Roman"/>
          <w:sz w:val="28"/>
          <w:szCs w:val="28"/>
        </w:rPr>
        <w:t xml:space="preserve">МО </w:t>
      </w:r>
      <w:r w:rsidR="002F196C">
        <w:rPr>
          <w:rFonts w:ascii="Times New Roman" w:hAnsi="Times New Roman" w:cs="Times New Roman"/>
          <w:sz w:val="28"/>
          <w:szCs w:val="28"/>
        </w:rPr>
        <w:t>«сельсовет «Мекегинский»</w:t>
      </w:r>
      <w:r w:rsidRPr="00024D7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55C9B" w:rsidRPr="00024D75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D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 Контроль за исполнение</w:t>
      </w:r>
      <w:r w:rsidRPr="00024D75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оставляю   за  собой.</w:t>
      </w:r>
    </w:p>
    <w:p w:rsidR="00655C9B" w:rsidRDefault="00655C9B" w:rsidP="00655C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5C9B" w:rsidRDefault="00655C9B" w:rsidP="00655C9B">
      <w:pPr>
        <w:jc w:val="center"/>
        <w:rPr>
          <w:sz w:val="28"/>
          <w:szCs w:val="28"/>
        </w:rPr>
      </w:pPr>
    </w:p>
    <w:p w:rsidR="009424D7" w:rsidRPr="00655C9B" w:rsidRDefault="008F7F54" w:rsidP="00655C9B">
      <w:pPr>
        <w:rPr>
          <w:sz w:val="28"/>
          <w:szCs w:val="28"/>
        </w:rPr>
      </w:pPr>
      <w:r w:rsidRPr="00655C9B">
        <w:rPr>
          <w:b/>
          <w:sz w:val="28"/>
          <w:szCs w:val="28"/>
        </w:rPr>
        <w:t xml:space="preserve">Глава </w:t>
      </w:r>
    </w:p>
    <w:p w:rsidR="009424D7" w:rsidRDefault="009424D7" w:rsidP="008F7F5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F7F54" w:rsidRDefault="009424D7" w:rsidP="009424D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2F196C">
        <w:rPr>
          <w:b/>
          <w:sz w:val="28"/>
          <w:szCs w:val="28"/>
        </w:rPr>
        <w:t>«сельсовет «Мекегинский»</w:t>
      </w:r>
      <w:r w:rsidR="008F7F54"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А.А. Сулейманов                 </w:t>
      </w:r>
    </w:p>
    <w:p w:rsidR="009424D7" w:rsidRPr="009424D7" w:rsidRDefault="009424D7" w:rsidP="009424D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right"/>
        <w:rPr>
          <w:sz w:val="22"/>
          <w:szCs w:val="22"/>
        </w:rPr>
      </w:pPr>
    </w:p>
    <w:p w:rsidR="008F7F54" w:rsidRPr="008F7F54" w:rsidRDefault="008F7F54" w:rsidP="008F7F54">
      <w:pPr>
        <w:pStyle w:val="a5"/>
        <w:numPr>
          <w:ilvl w:val="0"/>
          <w:numId w:val="1"/>
        </w:numPr>
        <w:jc w:val="right"/>
        <w:rPr>
          <w:sz w:val="20"/>
          <w:szCs w:val="20"/>
        </w:rPr>
      </w:pPr>
    </w:p>
    <w:p w:rsidR="008F7F54" w:rsidRDefault="008F7F54" w:rsidP="009424D7">
      <w:pPr>
        <w:jc w:val="center"/>
        <w:rPr>
          <w:sz w:val="28"/>
          <w:szCs w:val="28"/>
        </w:rPr>
      </w:pPr>
    </w:p>
    <w:p w:rsidR="009424D7" w:rsidRPr="009424D7" w:rsidRDefault="009424D7" w:rsidP="009424D7">
      <w:pPr>
        <w:jc w:val="center"/>
        <w:rPr>
          <w:sz w:val="28"/>
          <w:szCs w:val="28"/>
        </w:rPr>
      </w:pPr>
    </w:p>
    <w:p w:rsidR="00655C9B" w:rsidRDefault="00655C9B" w:rsidP="009424D7">
      <w:pPr>
        <w:pStyle w:val="a5"/>
        <w:numPr>
          <w:ilvl w:val="0"/>
          <w:numId w:val="1"/>
        </w:num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7"/>
        <w:gridCol w:w="5583"/>
      </w:tblGrid>
      <w:tr w:rsidR="00655C9B" w:rsidRPr="00024D75" w:rsidTr="00B53514">
        <w:tc>
          <w:tcPr>
            <w:tcW w:w="3987" w:type="dxa"/>
          </w:tcPr>
          <w:p w:rsidR="00655C9B" w:rsidRPr="00024D75" w:rsidRDefault="00655C9B" w:rsidP="00B53514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655C9B" w:rsidRDefault="00655C9B" w:rsidP="00B53514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55C9B" w:rsidRDefault="00655C9B" w:rsidP="00B53514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  администрации</w:t>
            </w:r>
          </w:p>
          <w:p w:rsidR="00594371" w:rsidRDefault="00594371" w:rsidP="00B53514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F196C">
              <w:rPr>
                <w:rFonts w:ascii="Times New Roman" w:hAnsi="Times New Roman" w:cs="Times New Roman"/>
                <w:sz w:val="28"/>
                <w:szCs w:val="28"/>
              </w:rPr>
              <w:t>«сельсовет «Мекегинский»</w:t>
            </w:r>
          </w:p>
          <w:p w:rsidR="00655C9B" w:rsidRPr="00024D75" w:rsidRDefault="002F196C" w:rsidP="00B53514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«12</w:t>
            </w:r>
            <w:r w:rsidR="00655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марта 2018г № 11</w:t>
            </w:r>
            <w:r w:rsidR="00655C9B" w:rsidRPr="00024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55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55C9B" w:rsidRPr="00024D75" w:rsidRDefault="00655C9B" w:rsidP="00B535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D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55C9B" w:rsidRPr="00024D75" w:rsidRDefault="00655C9B" w:rsidP="00B5351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655C9B" w:rsidRPr="00024D75" w:rsidRDefault="00655C9B" w:rsidP="00B53514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C9B" w:rsidRPr="00024D75" w:rsidRDefault="00655C9B" w:rsidP="00655C9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C9B">
        <w:rPr>
          <w:b/>
          <w:bCs/>
          <w:sz w:val="28"/>
          <w:szCs w:val="28"/>
        </w:rPr>
        <w:t>ПОРЯДОК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C9B">
        <w:rPr>
          <w:b/>
          <w:bCs/>
          <w:sz w:val="28"/>
          <w:szCs w:val="28"/>
        </w:rPr>
        <w:t>ведения  реестра расходных обязательств</w:t>
      </w:r>
    </w:p>
    <w:p w:rsidR="00655C9B" w:rsidRPr="00655C9B" w:rsidRDefault="00594371" w:rsidP="00655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371">
        <w:rPr>
          <w:b/>
          <w:sz w:val="28"/>
          <w:szCs w:val="28"/>
        </w:rPr>
        <w:t xml:space="preserve">МО </w:t>
      </w:r>
      <w:r w:rsidR="002F196C">
        <w:rPr>
          <w:b/>
          <w:sz w:val="28"/>
          <w:szCs w:val="28"/>
        </w:rPr>
        <w:t>«сельсовет «Мекегинский»</w:t>
      </w:r>
      <w:r>
        <w:rPr>
          <w:sz w:val="28"/>
          <w:szCs w:val="28"/>
        </w:rPr>
        <w:t xml:space="preserve"> </w:t>
      </w:r>
      <w:r w:rsidR="00655C9B" w:rsidRPr="00655C9B">
        <w:rPr>
          <w:b/>
          <w:bCs/>
          <w:sz w:val="28"/>
          <w:szCs w:val="28"/>
        </w:rPr>
        <w:t>Левашинского района</w:t>
      </w:r>
      <w:r w:rsidR="002F196C">
        <w:rPr>
          <w:b/>
          <w:bCs/>
          <w:sz w:val="28"/>
          <w:szCs w:val="28"/>
        </w:rPr>
        <w:t xml:space="preserve"> РД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 xml:space="preserve">1. Реестр расходных обязательств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ведется с целью учета расходных обязательств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="00594371">
        <w:rPr>
          <w:sz w:val="28"/>
          <w:szCs w:val="28"/>
        </w:rPr>
        <w:t xml:space="preserve"> </w:t>
      </w:r>
      <w:r w:rsidRPr="00655C9B">
        <w:rPr>
          <w:sz w:val="28"/>
          <w:szCs w:val="28"/>
        </w:rPr>
        <w:t xml:space="preserve">и определения объема бюджетных ассигнований, необходимых для исполнения включенных в реестр обязательств. Данные реестра расходных обязательств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используются при разработке проекта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о бюджете поселения на очередной финансовый год и плановый период.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>2. В настоящем Порядке используются следующие термины и понятия: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 xml:space="preserve">- реестр расходных обязательств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- реестр расходных обязательств администрации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>;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5C9B">
        <w:rPr>
          <w:sz w:val="28"/>
          <w:szCs w:val="28"/>
        </w:rPr>
        <w:t xml:space="preserve">- реестр расходных обязательств главного распорядителя средств бюджета 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который  ведётся главным  распорядителем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свод (перечень) решений, постановлений, иных нормативно-право</w:t>
      </w:r>
      <w:r w:rsidR="00594371">
        <w:rPr>
          <w:sz w:val="28"/>
          <w:szCs w:val="28"/>
        </w:rPr>
        <w:t>вых актов и заключенных органам</w:t>
      </w:r>
      <w:r w:rsidRPr="00655C9B">
        <w:rPr>
          <w:sz w:val="28"/>
          <w:szCs w:val="28"/>
        </w:rPr>
        <w:t xml:space="preserve">  местного самоуправления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от имени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</w:t>
      </w:r>
      <w:proofErr w:type="gramEnd"/>
      <w:r w:rsidRPr="00655C9B">
        <w:rPr>
          <w:sz w:val="28"/>
          <w:szCs w:val="28"/>
        </w:rPr>
        <w:t xml:space="preserve">, </w:t>
      </w:r>
      <w:proofErr w:type="gramStart"/>
      <w:r w:rsidRPr="00655C9B">
        <w:rPr>
          <w:sz w:val="28"/>
          <w:szCs w:val="28"/>
        </w:rPr>
        <w:t xml:space="preserve">подпунктов, абзацев) решений, постановлений, иных нормативных правовых актов, договоров (соглашений), которые в соответствии с законодательством Российской Федерации, Республики Дагестан,  муниципальными правовыми актами администрации Левашинского района, иными правовыми актами подлежат исполнению за счет средств бюджета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включая расходы подведомственных ему бюджетополучателей, с указанием объема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>, необходимых для исполнения соответствующих расходных обязательств;</w:t>
      </w:r>
      <w:proofErr w:type="gramEnd"/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5C9B">
        <w:rPr>
          <w:sz w:val="28"/>
          <w:szCs w:val="28"/>
        </w:rPr>
        <w:t xml:space="preserve">- предварительный реестр расходных обязательств главного распорядителя средств бюджета 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- реестр расходных обязательств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действующий на момент подготовки проекта бюджета 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 о бюджете поселения на очередной финансовый год и плановый период и учитывающий прогнозируемые объемы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>, необходимые для исполнения соответствующих расходных обязательств в очередном финансовом году и</w:t>
      </w:r>
      <w:proofErr w:type="gramEnd"/>
      <w:r w:rsidRPr="00655C9B">
        <w:rPr>
          <w:sz w:val="28"/>
          <w:szCs w:val="28"/>
        </w:rPr>
        <w:t xml:space="preserve"> в плановом периоде;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5C9B">
        <w:rPr>
          <w:sz w:val="28"/>
          <w:szCs w:val="28"/>
        </w:rPr>
        <w:t xml:space="preserve">- плановый реестр расходных обязательств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- реестр расходных обязательств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содержащий прогнозируемые объемы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необходимые для исполнения расходных обязательств в очередном финансовом году и плановом периоде, с учетом доведенных до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основных показателей прогноза социально-экономического развития 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</w:t>
      </w:r>
      <w:proofErr w:type="gramEnd"/>
      <w:r w:rsidR="002F196C">
        <w:rPr>
          <w:sz w:val="28"/>
          <w:szCs w:val="28"/>
        </w:rPr>
        <w:t>»</w:t>
      </w:r>
      <w:r w:rsidRPr="00655C9B">
        <w:rPr>
          <w:sz w:val="28"/>
          <w:szCs w:val="28"/>
        </w:rPr>
        <w:t xml:space="preserve"> на очередной финансовый год и плановый период;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55C9B">
        <w:rPr>
          <w:sz w:val="28"/>
          <w:szCs w:val="28"/>
        </w:rPr>
        <w:t xml:space="preserve">- уточненный реестр расходных обязательств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- реестр расходных обязательств главного распорядителя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, содержащий утвержденные решением  Собрания депутатов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о бюджете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на очередной финансовый год и плановый период объемы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на исполнение соответствующих расходных обязательств в очередном финансовом году и плановом периоде.</w:t>
      </w:r>
      <w:proofErr w:type="gramEnd"/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 xml:space="preserve">3. Главные распорядители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 ежегодно по форме согласно приложению к настоящему Порядку представляют в финансов</w:t>
      </w:r>
      <w:r w:rsidR="00594371">
        <w:rPr>
          <w:sz w:val="28"/>
          <w:szCs w:val="28"/>
        </w:rPr>
        <w:t>ое</w:t>
      </w:r>
      <w:r w:rsidRPr="00655C9B">
        <w:rPr>
          <w:sz w:val="28"/>
          <w:szCs w:val="28"/>
        </w:rPr>
        <w:t xml:space="preserve"> </w:t>
      </w:r>
      <w:r w:rsidR="00594371">
        <w:rPr>
          <w:sz w:val="28"/>
          <w:szCs w:val="28"/>
        </w:rPr>
        <w:t>управление</w:t>
      </w:r>
      <w:r w:rsidRPr="00655C9B">
        <w:rPr>
          <w:sz w:val="28"/>
          <w:szCs w:val="28"/>
        </w:rPr>
        <w:t xml:space="preserve"> администрации Левашинского  муниципального района Республики Дагестан (далее – управление финансов):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>- предварительный реестр расходных обязательств - не позднее 10 мая текущего финансового года;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>- плановый реестр расходных обязательств - не позднее 01сентября текущего финансового года;</w:t>
      </w:r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5C9B">
        <w:rPr>
          <w:sz w:val="28"/>
          <w:szCs w:val="28"/>
        </w:rPr>
        <w:t xml:space="preserve">- уточненный реестр расходных обязательств - не позднее 10дней со дня опубликования Решения Собрания депутатов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о бюджете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на очередной финансовый год и плановый период.</w:t>
      </w:r>
    </w:p>
    <w:p w:rsidR="00655C9B" w:rsidRPr="00655C9B" w:rsidRDefault="00655C9B" w:rsidP="002F196C">
      <w:pPr>
        <w:pStyle w:val="31"/>
        <w:widowControl w:val="0"/>
        <w:autoSpaceDE w:val="0"/>
        <w:autoSpaceDN w:val="0"/>
        <w:adjustRightInd w:val="0"/>
      </w:pPr>
      <w:r w:rsidRPr="00655C9B">
        <w:t xml:space="preserve">4. </w:t>
      </w:r>
      <w:proofErr w:type="gramStart"/>
      <w:r w:rsidRPr="00655C9B">
        <w:t xml:space="preserve">Реестры расходных обязательств заполняются в соответствии с </w:t>
      </w:r>
      <w:hyperlink r:id="rId7" w:history="1">
        <w:r w:rsidRPr="002F196C">
          <w:t>Рекомендациями</w:t>
        </w:r>
      </w:hyperlink>
      <w:r w:rsidRPr="00655C9B"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утвержденных приказом Министерства финансов Российской Федерации от 7 сентября </w:t>
      </w:r>
      <w:smartTag w:uri="urn:schemas-microsoft-com:office:smarttags" w:element="metricconverter">
        <w:smartTagPr>
          <w:attr w:name="ProductID" w:val="2007 г"/>
        </w:smartTagPr>
        <w:r w:rsidRPr="00655C9B">
          <w:t>2007 г</w:t>
        </w:r>
      </w:smartTag>
      <w:r w:rsidRPr="00655C9B">
        <w:t>. N 77н и представляются в Управление финансов с сопроводительным письмом руководителя на бумажном носителе и в электронном виде.</w:t>
      </w:r>
      <w:proofErr w:type="gramEnd"/>
    </w:p>
    <w:p w:rsidR="00655C9B" w:rsidRPr="00655C9B" w:rsidRDefault="00655C9B" w:rsidP="00655C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55C9B" w:rsidRPr="00655C9B" w:rsidSect="00967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5C9B">
        <w:rPr>
          <w:sz w:val="28"/>
          <w:szCs w:val="28"/>
        </w:rPr>
        <w:t xml:space="preserve">5. Главные распорядители средств бюджета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несут ответственность за достоверность и своевременное представление </w:t>
      </w:r>
      <w:proofErr w:type="gramStart"/>
      <w:r w:rsidRPr="00655C9B">
        <w:rPr>
          <w:sz w:val="28"/>
          <w:szCs w:val="28"/>
        </w:rPr>
        <w:t>реестров расходных обязательств главного распорядителя средств бюджета</w:t>
      </w:r>
      <w:proofErr w:type="gramEnd"/>
      <w:r w:rsidRPr="00655C9B">
        <w:rPr>
          <w:sz w:val="28"/>
          <w:szCs w:val="28"/>
        </w:rPr>
        <w:t xml:space="preserve"> </w:t>
      </w:r>
      <w:r w:rsidR="00594371">
        <w:rPr>
          <w:sz w:val="28"/>
          <w:szCs w:val="28"/>
        </w:rPr>
        <w:t xml:space="preserve">МО </w:t>
      </w:r>
      <w:r w:rsidR="002F196C">
        <w:rPr>
          <w:sz w:val="28"/>
          <w:szCs w:val="28"/>
        </w:rPr>
        <w:t>«сельсовет «Мекегинский»</w:t>
      </w:r>
      <w:r w:rsidRPr="00655C9B">
        <w:rPr>
          <w:sz w:val="28"/>
          <w:szCs w:val="28"/>
        </w:rPr>
        <w:t xml:space="preserve"> в Управление финансов в соответствии с законодательством Российской Федерации и законодательством </w:t>
      </w:r>
      <w:r w:rsidRPr="00655C9B">
        <w:rPr>
          <w:sz w:val="28"/>
          <w:szCs w:val="28"/>
        </w:rPr>
        <w:tab/>
        <w:t>Республики Дагестан.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55C9B">
        <w:rPr>
          <w:sz w:val="20"/>
          <w:szCs w:val="20"/>
        </w:rPr>
        <w:t>Приложение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sz w:val="20"/>
          <w:szCs w:val="20"/>
        </w:rPr>
      </w:pPr>
      <w:r w:rsidRPr="00655C9B">
        <w:rPr>
          <w:sz w:val="20"/>
          <w:szCs w:val="20"/>
        </w:rPr>
        <w:t>к Порядку ведения реестра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sz w:val="20"/>
          <w:szCs w:val="20"/>
        </w:rPr>
      </w:pPr>
      <w:r w:rsidRPr="00655C9B">
        <w:rPr>
          <w:sz w:val="20"/>
          <w:szCs w:val="20"/>
        </w:rPr>
        <w:t>расходных обязательств</w:t>
      </w:r>
    </w:p>
    <w:p w:rsidR="00655C9B" w:rsidRPr="00655C9B" w:rsidRDefault="00594371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sz w:val="20"/>
          <w:szCs w:val="20"/>
        </w:rPr>
      </w:pPr>
      <w:r w:rsidRPr="00594371">
        <w:rPr>
          <w:sz w:val="20"/>
          <w:szCs w:val="20"/>
        </w:rPr>
        <w:t xml:space="preserve">МО </w:t>
      </w:r>
      <w:r w:rsidR="002F196C">
        <w:rPr>
          <w:sz w:val="20"/>
          <w:szCs w:val="20"/>
        </w:rPr>
        <w:t>«сельсовет «Мекегинский»</w:t>
      </w:r>
      <w:r w:rsidR="00655C9B" w:rsidRPr="00655C9B">
        <w:rPr>
          <w:sz w:val="20"/>
          <w:szCs w:val="20"/>
        </w:rPr>
        <w:t>, утвержденному постановлением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sz w:val="20"/>
          <w:szCs w:val="20"/>
        </w:rPr>
      </w:pPr>
      <w:r w:rsidRPr="00655C9B">
        <w:rPr>
          <w:sz w:val="20"/>
          <w:szCs w:val="20"/>
        </w:rPr>
        <w:t xml:space="preserve"> администрации </w:t>
      </w:r>
      <w:r w:rsidR="00594371" w:rsidRPr="00594371">
        <w:rPr>
          <w:sz w:val="22"/>
          <w:szCs w:val="22"/>
        </w:rPr>
        <w:t xml:space="preserve">МО </w:t>
      </w:r>
      <w:r w:rsidR="002F196C">
        <w:rPr>
          <w:sz w:val="22"/>
          <w:szCs w:val="22"/>
        </w:rPr>
        <w:t>«сельсовет «Мекегинский»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rPr>
          <w:sz w:val="20"/>
          <w:szCs w:val="20"/>
        </w:rPr>
      </w:pPr>
      <w:r w:rsidRPr="00655C9B">
        <w:rPr>
          <w:sz w:val="20"/>
          <w:szCs w:val="20"/>
        </w:rPr>
        <w:t xml:space="preserve"> от   </w:t>
      </w:r>
      <w:r w:rsidR="002F196C">
        <w:t>«12» марта 2018г.№11</w:t>
      </w:r>
      <w:r w:rsidRPr="00655C9B">
        <w:rPr>
          <w:sz w:val="20"/>
          <w:szCs w:val="20"/>
        </w:rPr>
        <w:t xml:space="preserve">                   </w:t>
      </w:r>
    </w:p>
    <w:p w:rsidR="00655C9B" w:rsidRPr="008936B3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</w:pPr>
    </w:p>
    <w:p w:rsidR="00655C9B" w:rsidRPr="00655C9B" w:rsidRDefault="00655C9B" w:rsidP="00655C9B">
      <w:pPr>
        <w:pStyle w:val="a5"/>
        <w:widowControl w:val="0"/>
        <w:autoSpaceDE w:val="0"/>
        <w:autoSpaceDN w:val="0"/>
        <w:adjustRightInd w:val="0"/>
        <w:ind w:left="432"/>
        <w:jc w:val="center"/>
      </w:pPr>
      <w:r w:rsidRPr="00655C9B">
        <w:rPr>
          <w:b/>
        </w:rPr>
        <w:t>РЕЕСТР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5C9B">
        <w:rPr>
          <w:b/>
        </w:rPr>
        <w:t>расходных обязательств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655C9B">
        <w:rPr>
          <w:b/>
        </w:rPr>
        <w:t>_____________________________________________________________________________________________________________________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 w:rsidRPr="00655C9B">
        <w:rPr>
          <w:sz w:val="16"/>
          <w:szCs w:val="16"/>
        </w:rPr>
        <w:t>(код и наименование главного распорядителя средств бюд</w:t>
      </w:r>
      <w:r w:rsidR="002F196C">
        <w:rPr>
          <w:sz w:val="16"/>
          <w:szCs w:val="16"/>
        </w:rPr>
        <w:t>жета МО «сельсовет «Мекегинский» Левашинского</w:t>
      </w:r>
      <w:r w:rsidRPr="00655C9B">
        <w:rPr>
          <w:sz w:val="16"/>
          <w:szCs w:val="16"/>
        </w:rPr>
        <w:t xml:space="preserve"> района Республики Дагестан)</w:t>
      </w:r>
    </w:p>
    <w:tbl>
      <w:tblPr>
        <w:tblW w:w="14208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600"/>
        <w:gridCol w:w="303"/>
        <w:gridCol w:w="793"/>
        <w:gridCol w:w="705"/>
        <w:gridCol w:w="716"/>
        <w:gridCol w:w="850"/>
        <w:gridCol w:w="713"/>
        <w:gridCol w:w="903"/>
        <w:gridCol w:w="522"/>
        <w:gridCol w:w="479"/>
        <w:gridCol w:w="88"/>
        <w:gridCol w:w="567"/>
        <w:gridCol w:w="567"/>
        <w:gridCol w:w="567"/>
        <w:gridCol w:w="825"/>
        <w:gridCol w:w="347"/>
        <w:gridCol w:w="539"/>
        <w:gridCol w:w="850"/>
        <w:gridCol w:w="378"/>
        <w:gridCol w:w="473"/>
        <w:gridCol w:w="327"/>
        <w:gridCol w:w="515"/>
        <w:gridCol w:w="188"/>
        <w:gridCol w:w="654"/>
        <w:gridCol w:w="146"/>
        <w:gridCol w:w="447"/>
        <w:gridCol w:w="11"/>
        <w:gridCol w:w="135"/>
      </w:tblGrid>
      <w:tr w:rsidR="00655C9B" w:rsidRPr="00655C9B" w:rsidTr="00B53514">
        <w:trPr>
          <w:gridAfter w:val="1"/>
          <w:wAfter w:w="135" w:type="dxa"/>
          <w:trHeight w:val="772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Код главного распорядителя средств </w:t>
            </w:r>
          </w:p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бюджета Ленинского муниципального района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Реквизиты нормативного правового акта, договора,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Статья,</w:t>
            </w:r>
          </w:p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Пункт</w:t>
            </w:r>
          </w:p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,подпункт, абзац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Дата вступления в силу нормативного правового  акта, договора, соглашения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Коды бюджетной </w:t>
            </w:r>
          </w:p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09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Объем средств на исполнение расходного обязательства (</w:t>
            </w:r>
            <w:proofErr w:type="spell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тыс</w:t>
            </w:r>
            <w:proofErr w:type="gram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.р</w:t>
            </w:r>
            <w:proofErr w:type="gramEnd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уб</w:t>
            </w:r>
            <w:proofErr w:type="spellEnd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При-</w:t>
            </w:r>
            <w:proofErr w:type="spell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мечание</w:t>
            </w:r>
            <w:proofErr w:type="spellEnd"/>
            <w:proofErr w:type="gramEnd"/>
          </w:p>
        </w:tc>
      </w:tr>
      <w:tr w:rsidR="00655C9B" w:rsidRPr="00655C9B" w:rsidTr="00B53514">
        <w:trPr>
          <w:gridAfter w:val="1"/>
          <w:wAfter w:w="135" w:type="dxa"/>
          <w:trHeight w:val="498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Текущий год (план)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Очередной 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Второй год </w:t>
            </w:r>
            <w:proofErr w:type="spell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планого</w:t>
            </w:r>
            <w:proofErr w:type="spellEnd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Третий год </w:t>
            </w:r>
            <w:proofErr w:type="spellStart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планого</w:t>
            </w:r>
            <w:proofErr w:type="spellEnd"/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периода</w:t>
            </w:r>
          </w:p>
        </w:tc>
        <w:tc>
          <w:tcPr>
            <w:tcW w:w="6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gridAfter w:val="1"/>
          <w:wAfter w:w="135" w:type="dxa"/>
          <w:trHeight w:val="1335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плановый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5C9B">
              <w:rPr>
                <w:rFonts w:asciiTheme="minorHAnsi" w:hAnsiTheme="minorHAnsi"/>
                <w:color w:val="000000"/>
                <w:sz w:val="20"/>
                <w:szCs w:val="20"/>
              </w:rPr>
              <w:t>фактический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gridAfter w:val="1"/>
          <w:wAfter w:w="135" w:type="dxa"/>
          <w:trHeight w:val="255"/>
        </w:trPr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5C9B" w:rsidRPr="00655C9B" w:rsidRDefault="00655C9B" w:rsidP="00B5351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gridAfter w:val="2"/>
          <w:wAfter w:w="146" w:type="dxa"/>
          <w:trHeight w:val="72"/>
        </w:trPr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gridAfter w:val="2"/>
          <w:wAfter w:w="146" w:type="dxa"/>
          <w:trHeight w:val="27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55C9B" w:rsidRPr="00655C9B" w:rsidTr="00B53514">
        <w:trPr>
          <w:gridAfter w:val="2"/>
          <w:wAfter w:w="146" w:type="dxa"/>
          <w:trHeight w:val="27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gridAfter w:val="2"/>
          <w:wAfter w:w="146" w:type="dxa"/>
          <w:trHeight w:val="270"/>
        </w:trPr>
        <w:tc>
          <w:tcPr>
            <w:tcW w:w="8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rPr>
                <w:color w:val="000000"/>
                <w:sz w:val="20"/>
                <w:szCs w:val="20"/>
              </w:rPr>
            </w:pPr>
            <w:r w:rsidRPr="00655C9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655C9B" w:rsidRPr="00655C9B" w:rsidRDefault="00655C9B" w:rsidP="00B535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5C9B" w:rsidRPr="00655C9B" w:rsidTr="00B53514">
        <w:trPr>
          <w:trHeight w:val="25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9B" w:rsidRPr="00655C9B" w:rsidRDefault="00655C9B" w:rsidP="00B53514">
            <w:pPr>
              <w:rPr>
                <w:sz w:val="20"/>
                <w:szCs w:val="20"/>
              </w:rPr>
            </w:pPr>
          </w:p>
        </w:tc>
      </w:tr>
    </w:tbl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655C9B">
        <w:rPr>
          <w:sz w:val="20"/>
          <w:szCs w:val="20"/>
        </w:rPr>
        <w:t>Руководитель         подпись                                (расшифровка  подписи)</w:t>
      </w:r>
    </w:p>
    <w:p w:rsidR="00655C9B" w:rsidRPr="00655C9B" w:rsidRDefault="00655C9B" w:rsidP="00655C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655C9B">
        <w:rPr>
          <w:sz w:val="20"/>
          <w:szCs w:val="20"/>
        </w:rPr>
        <w:t>« _____» _________________ 20__ г</w:t>
      </w:r>
    </w:p>
    <w:p w:rsidR="00655C9B" w:rsidRPr="00655C9B" w:rsidRDefault="00655C9B" w:rsidP="00655C9B">
      <w:pPr>
        <w:rPr>
          <w:sz w:val="20"/>
          <w:szCs w:val="20"/>
        </w:rPr>
      </w:pPr>
    </w:p>
    <w:sectPr w:rsidR="00655C9B" w:rsidRPr="00655C9B" w:rsidSect="00655C9B">
      <w:pgSz w:w="16838" w:h="11906" w:orient="landscape"/>
      <w:pgMar w:top="1701" w:right="1135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A135E8"/>
    <w:multiLevelType w:val="multilevel"/>
    <w:tmpl w:val="7AFEF6D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4711EEF"/>
    <w:multiLevelType w:val="multilevel"/>
    <w:tmpl w:val="D2549A9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0580F"/>
    <w:rsid w:val="00032B77"/>
    <w:rsid w:val="0010580F"/>
    <w:rsid w:val="00163952"/>
    <w:rsid w:val="00175070"/>
    <w:rsid w:val="00207035"/>
    <w:rsid w:val="002F196C"/>
    <w:rsid w:val="0033172D"/>
    <w:rsid w:val="003766E5"/>
    <w:rsid w:val="00436C84"/>
    <w:rsid w:val="0048681D"/>
    <w:rsid w:val="00520583"/>
    <w:rsid w:val="00534796"/>
    <w:rsid w:val="00590C02"/>
    <w:rsid w:val="00591C60"/>
    <w:rsid w:val="00594371"/>
    <w:rsid w:val="005A1E3A"/>
    <w:rsid w:val="00600CE9"/>
    <w:rsid w:val="00655C9B"/>
    <w:rsid w:val="006821A7"/>
    <w:rsid w:val="006F1DED"/>
    <w:rsid w:val="007C1E35"/>
    <w:rsid w:val="008A19DB"/>
    <w:rsid w:val="008D6EBE"/>
    <w:rsid w:val="008F7F54"/>
    <w:rsid w:val="0091441D"/>
    <w:rsid w:val="009424D7"/>
    <w:rsid w:val="009429F5"/>
    <w:rsid w:val="00A506E8"/>
    <w:rsid w:val="00A8793D"/>
    <w:rsid w:val="00B53077"/>
    <w:rsid w:val="00BC1B93"/>
    <w:rsid w:val="00BE7D50"/>
    <w:rsid w:val="00C22E3E"/>
    <w:rsid w:val="00C43AC5"/>
    <w:rsid w:val="00C602B5"/>
    <w:rsid w:val="00CC41F5"/>
    <w:rsid w:val="00DB7CCC"/>
    <w:rsid w:val="00DE14B1"/>
    <w:rsid w:val="00E1465C"/>
    <w:rsid w:val="00E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paragraph" w:customStyle="1" w:styleId="ConsPlusNonformat">
    <w:name w:val="ConsPlusNonformat"/>
    <w:rsid w:val="008F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paragraph" w:customStyle="1" w:styleId="ConsPlusNonformat">
    <w:name w:val="ConsPlusNonformat"/>
    <w:rsid w:val="008F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2B23088EACBBBE85DB1E691A733D7236EEAA6A7083BC7C03D031FB3447D76E56C56B2ED92C99fDd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2018-03-12T11:36:00Z</cp:lastPrinted>
  <dcterms:created xsi:type="dcterms:W3CDTF">2018-02-14T16:39:00Z</dcterms:created>
  <dcterms:modified xsi:type="dcterms:W3CDTF">2018-03-12T11:36:00Z</dcterms:modified>
</cp:coreProperties>
</file>